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Fault Line · FL-0021 · Family</w:t>
      </w:r>
    </w:p>
    <w:p>
      <w:pPr>
        <w:pStyle w:val="Title"/>
      </w:pPr>
      <w:r>
        <w:t xml:space="preserve">Maintenance for a Woman in a Void Marriage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w:t>
      </w:r>
    </w:p>
    <w:p>
      <w:pPr>
        <w:pStyle w:val="Guidance"/>
      </w:pPr>
      <w:r>
        <w:t xml:space="preserve">State the question on which the courts differ, in one sentence.</w:t>
      </w:r>
    </w:p>
    <w:p/>
    <w:p>
      <w:pPr>
        <w:pStyle w:val="Heading1"/>
      </w:pPr>
      <w:r>
        <w:t xml:space="preserve">The first answer</w:t>
      </w:r>
    </w:p>
    <w:p>
      <w:pPr>
        <w:pStyle w:val="Guidance"/>
      </w:pPr>
      <w:r>
        <w:t xml:space="preserve">The decisions that take it, and their reasons.</w:t>
      </w:r>
    </w:p>
    <w:p/>
    <w:p>
      <w:pPr>
        <w:pStyle w:val="Heading1"/>
      </w:pPr>
      <w:r>
        <w:t xml:space="preserve">The second answer</w:t>
      </w:r>
    </w:p>
    <w:p>
      <w:pPr>
        <w:pStyle w:val="Guidance"/>
      </w:pPr>
      <w:r>
        <w:t xml:space="preserve">The decisions that take the other view, and their reasons.</w:t>
      </w:r>
    </w:p>
    <w:p/>
    <w:p>
      <w:pPr>
        <w:pStyle w:val="Heading1"/>
      </w:pPr>
      <w:r>
        <w:t xml:space="preserve">Why the courts differ</w:t>
      </w:r>
    </w:p>
    <w:p>
      <w:pPr>
        <w:pStyle w:val="Guidance"/>
      </w:pPr>
      <w:r>
        <w:t xml:space="preserve">What the disagreement really turns on.</w:t>
      </w:r>
    </w:p>
    <w:p/>
    <w:p>
      <w:pPr>
        <w:pStyle w:val="Heading1"/>
      </w:pPr>
      <w:r>
        <w:t xml:space="preserve">The answer you argue</w:t>
      </w:r>
    </w:p>
    <w:p>
      <w:pPr>
        <w:pStyle w:val="Guidance"/>
      </w:pPr>
      <w:r>
        <w:t xml:space="preserve">Take a side and defend it. Another student may argue the other.</w:t>
      </w:r>
    </w:p>
    <w:p/>
    <w:p>
      <w:pPr>
        <w:pStyle w:val="Heading1"/>
      </w:pPr>
      <w:r>
        <w:t xml:space="preserve">Notes for the writer (delete before submitting)</w:t>
      </w:r>
    </w:p>
    <w:p>
      <w:pPr>
        <w:pStyle w:val="Guidance"/>
      </w:pPr>
      <w:r>
        <w:t xml:space="preserve">Scope of this entry. A woman deceived into marrying an already married man: denied maintenance as not a "wife" in one case, granted it in another.</w:t>
      </w:r>
    </w:p>
    <w:p>
      <w:pPr>
        <w:pStyle w:val="Guidance"/>
      </w:pPr>
      <w:r>
        <w:t xml:space="preserve">Authorities to start from. These are places to begin, listed by the editors. Read each one in the original and check the citation before you rely on it.</w:t>
      </w:r>
    </w:p>
    <w:p>
      <w:pPr>
        <w:pStyle w:val="Bullet"/>
      </w:pPr>
      <w:r>
        <w:t xml:space="preserve">•  Savitaben Somabhai Bhatiya v. State of Gujarat, (2005) 3 SCC 636</w:t>
      </w:r>
    </w:p>
    <w:p>
      <w:pPr>
        <w:pStyle w:val="Bullet"/>
      </w:pPr>
      <w:r>
        <w:t xml:space="preserve">•  Badshah v. Urmila Badshah Godse, (2014) 1 SCC 188</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https://firstprecedent.org/fault-lines/maintenance-for-second-wife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