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FL-0015 · Contract</w:t>
      </w:r>
    </w:p>
    <w:p>
      <w:pPr>
        <w:pStyle w:val="Title"/>
      </w:pPr>
      <w:r>
        <w:t xml:space="preserve">Must Loss Be Proved under Section 74?</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Saw Pipes says not where loss is hard to prove; Kailash Nath says loss is a precondition. How the two are reconciled in practice.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ONGC Ltd. v. Saw Pipes Ltd., (2003) 5 SCC 705</w:t>
      </w:r>
    </w:p>
    <w:p>
      <w:pPr>
        <w:pStyle w:val="Bullet"/>
      </w:pPr>
      <w:r>
        <w:t xml:space="preserve">•  Kailash Nath Associates v. DDA, (2015) 4 SCC 136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https://firstprecedent.org/fault-lines/liquidated-damages-proof-of-loss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