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FL-0012 · Arbitration</w:t>
      </w:r>
    </w:p>
    <w:p>
      <w:pPr>
        <w:pStyle w:val="Title"/>
      </w:pPr>
      <w:r>
        <w:t xml:space="preserve">Limitation for Challenging an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What can and cannot extend the three months and thirty days under section 34(3).</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Popular Construction Co., (2001) 8 SCC 470</w:t>
      </w:r>
    </w:p>
    <w:p>
      <w:pPr>
        <w:pStyle w:val="Bullet"/>
      </w:pPr>
      <w:r>
        <w:t xml:space="preserve">•  Consolidated Engineering Enterprises v. Principal Secretary, Irrigation Dept., (2008) 7 SCC 169</w:t>
      </w:r>
    </w:p>
    <w:p>
      <w:pPr>
        <w:pStyle w:val="Bullet"/>
      </w:pPr>
      <w:r>
        <w:t xml:space="preserve">•  Arbitration and Conciliation Act, 1996, § 34(3)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https://firstprecedent.org/fault-lines/limitation-and-section-34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