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FL-0078 · Corporate</w:t>
      </w:r>
    </w:p>
    <w:p>
      <w:pPr>
        <w:pStyle w:val="Title"/>
      </w:pPr>
      <w:r>
        <w:t xml:space="preserve">When Is a Non-Executive Director Liable?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Directors who do not run the business are still named in prosecutions; the tests for knowledge and charge of affairs vary.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149(12)</w:t>
      </w:r>
    </w:p>
    <w:p>
      <w:pPr>
        <w:pStyle w:val="Bullet"/>
      </w:pPr>
      <w:r>
        <w:t xml:space="preserve">•  Negotiable Instruments Act, 1881, § 141</w:t>
      </w:r>
    </w:p>
    <w:p>
      <w:pPr>
        <w:pStyle w:val="Bullet"/>
      </w:pPr>
      <w:r>
        <w:t xml:space="preserve">•  S.M.S. Pharmaceuticals Ltd. v. Neeta Bhalla, (2005) 8 SCC 89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https://firstprecedent.org/fault-lines/liability-of-non-executive-directors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