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FL-0060 · Media</w:t>
      </w:r>
    </w:p>
    <w:p>
      <w:pPr>
        <w:pStyle w:val="Title"/>
      </w:pPr>
      <w:r>
        <w:t xml:space="preserve">Injunctions against Publication before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Trial courts grant them freely; the Supreme Court says they should be exceptional.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Bloomberg Television Production Services India (P) Ltd. v. Zee Entertainment Enterprises Ltd., 2024 SCC OnLine SC 426</w:t>
      </w:r>
    </w:p>
    <w:p>
      <w:pPr>
        <w:pStyle w:val="Bullet"/>
      </w:pPr>
      <w:r>
        <w:t xml:space="preserve">•  Bonnard v. Perryman, [1891] 2 Ch 269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https://firstprecedent.org/fault-lines/interim-injunctions-in-defamation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