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FL-0042 · Securities</w:t>
      </w:r>
    </w:p>
    <w:p>
      <w:pPr>
        <w:pStyle w:val="Title"/>
      </w:pPr>
      <w:r>
        <w:t xml:space="preserve">Must SEBI Prove Intent?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Earlier tribunal rulings required intent to defraud; the Supreme Court said preponderance of probability on the conduct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v. Kishore R. Ajmera, (2016) 6 SCC 368</w:t>
      </w:r>
    </w:p>
    <w:p>
      <w:pPr>
        <w:pStyle w:val="Bullet"/>
      </w:pPr>
      <w:r>
        <w:t xml:space="preserve">•  SEBI v. Kanaiyalal Baldevbhai Patel, (2017) 15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https://firstprecedent.org/fault-lines/intent-in-market-manipulation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