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FL-0046 · Banking</w:t>
      </w:r>
    </w:p>
    <w:p>
      <w:pPr>
        <w:pStyle w:val="Title"/>
      </w:pPr>
      <w:r>
        <w:t xml:space="preserve">Insolvency and Criminal Attachment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assets of a company in resolution can be attached for money laundering, before and after section 32A.</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32A</w:t>
      </w:r>
    </w:p>
    <w:p>
      <w:pPr>
        <w:pStyle w:val="Bullet"/>
      </w:pPr>
      <w:r>
        <w:t xml:space="preserve">•  Manish Kumar v. Union of India, (2021)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https://firstprecedent.org/fault-lines/insolvency-and-attachment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