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FL-0032 · Tax</w:t>
      </w:r>
    </w:p>
    <w:p>
      <w:pPr>
        <w:pStyle w:val="Title"/>
      </w:pPr>
      <w:r>
        <w:t xml:space="preserve">Is Input Tax Credit a Right or a Concession?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calls it a concession subject to conditions; taxpayers argue it is integral to a tax on value added.</w:t>
      </w:r>
    </w:p>
    <w:p>
      <w:pPr>
        <w:pStyle w:val="Guidance"/>
      </w:pPr>
      <w:r>
        <w:t xml:space="preserve">Authorities to start from. These are places to begin, listed by the editors. Read each one in the original and check the citation before you rely on it.</w:t>
      </w:r>
    </w:p>
    <w:p>
      <w:pPr>
        <w:pStyle w:val="Bullet"/>
      </w:pPr>
      <w:r>
        <w:t xml:space="preserve">•  ALD Automotive (P) Ltd. v. CTO, (2019) 13 SCC 225</w:t>
      </w:r>
    </w:p>
    <w:p>
      <w:pPr>
        <w:pStyle w:val="Bullet"/>
      </w:pPr>
      <w:r>
        <w:t xml:space="preserve">•  Union of India v. Bharti Airtel Ltd., (2022) 4 SCC 328</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https://firstprecedent.org/fault-lines/input-tax-credit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