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FL-0050 · Banking</w:t>
      </w:r>
    </w:p>
    <w:p>
      <w:pPr>
        <w:pStyle w:val="Title"/>
      </w:pPr>
      <w:r>
        <w:t xml:space="preserve">Homebuyers in Insolvency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Treated as financial creditors by amendment, then made subject to a minimum threshold to apply.</w:t>
      </w:r>
    </w:p>
    <w:p>
      <w:pPr>
        <w:pStyle w:val="Guidance"/>
      </w:pPr>
      <w:r>
        <w:t xml:space="preserve">Authorities to start from. These are places to begin, listed by the editors. Read each one in the original and check the citation before you rely on it.</w:t>
      </w:r>
    </w:p>
    <w:p>
      <w:pPr>
        <w:pStyle w:val="Bullet"/>
      </w:pPr>
      <w:r>
        <w:t xml:space="preserve">•  Pioneer Urban Land &amp; Infrastructure Ltd. v. Union of India, (2019) 8 SCC 416</w:t>
      </w:r>
    </w:p>
    <w:p>
      <w:pPr>
        <w:pStyle w:val="Bullet"/>
      </w:pPr>
      <w:r>
        <w:t xml:space="preserve">•  Manish Kumar v. Union of India, (2021)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https://firstprecedent.org/fault-lines/homebuyers-as-creditors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