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FL-0073 · Family</w:t>
      </w:r>
    </w:p>
    <w:p>
      <w:pPr>
        <w:pStyle w:val="Title"/>
      </w:pPr>
      <w:r>
        <w:t xml:space="preserve">A Hindu Woman’s Estate under Section 14</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a life interest given to a woman under a will or settlement grows into full ownership, and when it stays limited.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14(1), (2)</w:t>
      </w:r>
    </w:p>
    <w:p>
      <w:pPr>
        <w:pStyle w:val="Bullet"/>
      </w:pPr>
      <w:r>
        <w:t xml:space="preserve">•  V. Tulasamma v. Sesha Reddy, (1977) 3 SCC 99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https://firstprecedent.org/fault-lines/hindu-womans-estate-under-section-14</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