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FL-0062 · Environment</w:t>
      </w:r>
    </w:p>
    <w:p>
      <w:pPr>
        <w:pStyle w:val="Title"/>
      </w:pPr>
      <w:r>
        <w:t xml:space="preserve">The Green Tribunal and the High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tribunal’s jurisdiction excludes writ petitions, and whether it may act on its own motion.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Corpn. of Greater Mumbai v. Ankita Sinha, (2022) 13 SCC 401</w:t>
      </w:r>
    </w:p>
    <w:p>
      <w:pPr>
        <w:pStyle w:val="Bullet"/>
      </w:pPr>
      <w:r>
        <w:t xml:space="preserve">•  Madhya Pradesh High Court Advocates Bar Assn. v. Union of India, 2022 SCC OnLine SC 639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https://firstprecedent.org/fault-lines/green-tribunal-and-high-courts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