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FL-0028 · Labour</w:t>
      </w:r>
    </w:p>
    <w:p>
      <w:pPr>
        <w:pStyle w:val="Title"/>
      </w:pPr>
      <w:r>
        <w:t xml:space="preserve">Are Teachers "Employees" for Gratuity?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Held not to be in 2004; brought in by a retrospective amendment in 2009; and the amendment then tested.</w:t>
      </w:r>
    </w:p>
    <w:p>
      <w:pPr>
        <w:pStyle w:val="Guidance"/>
      </w:pPr>
      <w:r>
        <w:t xml:space="preserve">Authorities to start from. These are places to begin, listed by the editors. Read each one in the original and check the citation before you rely on it.</w:t>
      </w:r>
    </w:p>
    <w:p>
      <w:pPr>
        <w:pStyle w:val="Bullet"/>
      </w:pPr>
      <w:r>
        <w:t xml:space="preserve">•  Ahmedabad (P) Primary Teachers’ Assn. v. Administrative Officer, (2004) 1 SCC 755</w:t>
      </w:r>
    </w:p>
    <w:p>
      <w:pPr>
        <w:pStyle w:val="Bullet"/>
      </w:pPr>
      <w:r>
        <w:t xml:space="preserve">•  Birla Institute of Technology v. State of Jharkhand, (2019) 4 SCC 513</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https://firstprecedent.org/fault-lines/gratuity-for-teachers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