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FL-0006 · Constitutional</w:t>
      </w:r>
    </w:p>
    <w:p>
      <w:pPr>
        <w:pStyle w:val="Title"/>
      </w:pPr>
      <w:r>
        <w:t xml:space="preserve">The Governor’s Assent to Bills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Governor can sit on a Bill indefinitely, and whether courts can set timelines under Article 200.</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200–201</w:t>
      </w:r>
    </w:p>
    <w:p>
      <w:pPr>
        <w:pStyle w:val="Bullet"/>
      </w:pPr>
      <w:r>
        <w:t xml:space="preserve">•  State of Punjab v. Principal Secretary to the Governor of Punjab, (2024) 1 SCC 384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https://firstprecedent.org/fault-lines/governor-and-bills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