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FL-0056 · Tech &amp; Data</w:t>
      </w:r>
    </w:p>
    <w:p>
      <w:pPr>
        <w:pStyle w:val="Title"/>
      </w:pPr>
      <w:r>
        <w:t xml:space="preserve">A Government Fact-Check Unit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A rule letting a government body flag content about itself as false: a split verdict, then struck down by a third judge.</w:t>
      </w:r>
    </w:p>
    <w:p>
      <w:pPr>
        <w:pStyle w:val="Guidance"/>
      </w:pPr>
      <w:r>
        <w:t xml:space="preserve">Authorities to start from. These are places to begin, listed by the editors. Read each one in the original and check the citation before you rely on it.</w:t>
      </w:r>
    </w:p>
    <w:p>
      <w:pPr>
        <w:pStyle w:val="Bullet"/>
      </w:pPr>
      <w:r>
        <w:t xml:space="preserve">•  Kunal Kamra v. Union of India (Bombay High Court, 2024)</w:t>
      </w:r>
    </w:p>
    <w:p>
      <w:pPr>
        <w:pStyle w:val="Bullet"/>
      </w:pPr>
      <w:r>
        <w:t xml:space="preserve">•  Information Technology Act, 2000, § 79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https://firstprecedent.org/fault-lines/fact-check-unit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