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FL-0069 · Tort</w:t>
      </w:r>
    </w:p>
    <w:p>
      <w:pPr>
        <w:pStyle w:val="Title"/>
      </w:pPr>
      <w:r>
        <w:t xml:space="preserve">Is an Expert Opinion Needed before a Medical Negligence Complaint?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Required in every case by one bench; held contrary to the consumer law by another.</w:t>
      </w:r>
    </w:p>
    <w:p>
      <w:pPr>
        <w:pStyle w:val="Guidance"/>
      </w:pPr>
      <w:r>
        <w:t xml:space="preserve">Authorities to start from. These are places to begin, listed by the editors. Read each one in the original and check the citation before you rely on it.</w:t>
      </w:r>
    </w:p>
    <w:p>
      <w:pPr>
        <w:pStyle w:val="Bullet"/>
      </w:pPr>
      <w:r>
        <w:t xml:space="preserve">•  Martin F. D’Souza v. Mohd. Ishfaq, (2009) 3 SCC 1</w:t>
      </w:r>
    </w:p>
    <w:p>
      <w:pPr>
        <w:pStyle w:val="Bullet"/>
      </w:pPr>
      <w:r>
        <w:t xml:space="preserve">•  V. Kishan Rao v. Nikhil Super Speciality Hospital, (2010) 5 SCC 513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https://firstprecedent.org/fault-lines/expert-opinion-in-medical-negligence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