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FL-0004 · Constitutional</w:t>
      </w:r>
    </w:p>
    <w:p>
      <w:pPr>
        <w:pStyle w:val="Title"/>
      </w:pPr>
      <w:r>
        <w:t xml:space="preserve">Who Decides What Is Essential to a Religion?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The split between judges who test essentiality themselves and those who defer to the community, now before a larger bench.</w:t>
      </w:r>
    </w:p>
    <w:p>
      <w:pPr>
        <w:pStyle w:val="Guidance"/>
      </w:pPr>
      <w:r>
        <w:t xml:space="preserve">Authorities to start from. These are places to begin, listed by the editors. Read each one in the original and check the citation before you rely on it.</w:t>
      </w:r>
    </w:p>
    <w:p>
      <w:pPr>
        <w:pStyle w:val="Bullet"/>
      </w:pPr>
      <w:r>
        <w:t xml:space="preserve">•  Kantaru Rajeevaru v. Indian Young Lawyers Assn., (2020) 2 SCC 1</w:t>
      </w:r>
    </w:p>
    <w:p>
      <w:pPr>
        <w:pStyle w:val="Bullet"/>
      </w:pPr>
      <w:r>
        <w:t xml:space="preserve">•  Commr., Hindu Religious Endowments v. Sri Lakshmindra Thirtha Swamiar of Sri Shirur Mutt, AIR 1954 SC 282</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https://firstprecedent.org/fault-lines/essential-practices-who-decides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