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FL-0063 · Environment</w:t>
      </w:r>
    </w:p>
    <w:p>
      <w:pPr>
        <w:pStyle w:val="Title"/>
      </w:pPr>
      <w:r>
        <w:t xml:space="preserve">A One-Kilometre Buffer around Protected Forests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uniform zone ordered in 2022 and relaxed in 2023 after States said it could not work everywhere.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T.N. Godavarman Thirumulpad v. Union of India, (2022) 10 SCC 544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https://firstprecedent.org/fault-lines/eco-sensitive-zones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