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FL-0081 · Jurisprudence</w:t>
      </w:r>
    </w:p>
    <w:p>
      <w:pPr>
        <w:pStyle w:val="Title"/>
      </w:pPr>
      <w:r>
        <w:t xml:space="preserve">Do Obiter Dicta of the Supreme Court Bind?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Some decisions treat everything the Court says as binding under Article 141; others confine the binding part to the ratio.</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141</w:t>
      </w:r>
    </w:p>
    <w:p>
      <w:pPr>
        <w:pStyle w:val="Bullet"/>
      </w:pPr>
      <w:r>
        <w:t xml:space="preserve">•  Municipal Corporation of Delhi v. Gurnam Kaur, (1989) 1 SCC 101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https://firstprecedent.org/fault-lines/do-obiter-dicta-bind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