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FL-0043 · Securities</w:t>
      </w:r>
    </w:p>
    <w:p>
      <w:pPr>
        <w:pStyle w:val="Title"/>
      </w:pPr>
      <w:r>
        <w:t xml:space="preserve">Does the Adjudicating Officer Have Discretion on Penalty?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A mandatory minimum in one decision; discretion guided by statutory factors in the next.</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v. Roofit Industries Ltd., (2016) 12 SCC 125</w:t>
      </w:r>
    </w:p>
    <w:p>
      <w:pPr>
        <w:pStyle w:val="Bullet"/>
      </w:pPr>
      <w:r>
        <w:t xml:space="preserve">•  Adjudicating Officer, SEBI v. Bhavesh Pabari, (2019) 5 SCC 90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https://firstprecedent.org/fault-lines/discretion-in-penalty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