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FL-0045 · Securities</w:t>
      </w:r>
    </w:p>
    <w:p>
      <w:pPr>
        <w:pStyle w:val="Title"/>
      </w:pPr>
      <w:r>
        <w:t xml:space="preserve">What Must SEBI Disclose to a Noticee?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Only what it relies on, or everything relevant, including the investigation report.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T. Takano v. SEBI, (2022) 8 SCC 162</w:t>
      </w:r>
    </w:p>
    <w:p>
      <w:pPr>
        <w:pStyle w:val="Bullet"/>
      </w:pPr>
      <w:r>
        <w:t xml:space="preserve">•  Natwar Singh v. Director of Enforcement, (2010) 13 SCC 255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https://firstprecedent.org/fault-lines/disclosure-of-investigation-material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