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FL-0051 · IP</w:t>
      </w:r>
    </w:p>
    <w:p>
      <w:pPr>
        <w:pStyle w:val="Title"/>
      </w:pPr>
      <w:r>
        <w:t xml:space="preserve">Design and Passing Off in One 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claims for design infringement and passing off can be joined; one full bench said no, a larger one said yes.</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Mohan Lal v. Sona Paint &amp; Hardwares, 2013 SCC OnLine Del 1980</w:t>
      </w:r>
    </w:p>
    <w:p>
      <w:pPr>
        <w:pStyle w:val="Bullet"/>
      </w:pPr>
      <w:r>
        <w:t xml:space="preserve">•  Carlsberg Breweries A/S v. Som Distilleries &amp; Breweries Ltd., 2018 SCC OnLine Del 12912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https://firstprecedent.org/fault-lines/design-and-trade-mark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