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FL-0009 · Criminal</w:t>
      </w:r>
    </w:p>
    <w:p>
      <w:pPr>
        <w:pStyle w:val="Title"/>
      </w:pPr>
      <w:r>
        <w:t xml:space="preserve">Default Bail and the Incomplete Charge-sheet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the right to default bail accrues and is lost, and whether a piecemeal charge-sheet defeats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Uday Mohanlal Acharya v. State of Maharashtra, (2001) 5 SCC 453</w:t>
      </w:r>
    </w:p>
    <w:p>
      <w:pPr>
        <w:pStyle w:val="Bullet"/>
      </w:pPr>
      <w:r>
        <w:t xml:space="preserve">•  M. Ravindran v. Directorate of Revenue Intelligence, (2021) 2 SCC 485</w:t>
      </w:r>
    </w:p>
    <w:p>
      <w:pPr>
        <w:pStyle w:val="Bullet"/>
      </w:pPr>
      <w:r>
        <w:t xml:space="preserve">•  Ritu Chhabaria v. Union of India, (2024) 12 SCC 116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https://firstprecedent.org/fault-lines/default-bail-and-chargesheet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