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FL-0031 · Labour</w:t>
      </w:r>
    </w:p>
    <w:p>
      <w:pPr>
        <w:pStyle w:val="Title"/>
      </w:pPr>
      <w:r>
        <w:t xml:space="preserve">The Remedy for a Daily Wager Wrongly Retrenched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Reinstatement in some cases and lump-sum compensation in others, with no clear line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 Sanchar Nigam Ltd. v. Bhurumal, (2014) 7 SCC 177</w:t>
      </w:r>
    </w:p>
    <w:p>
      <w:pPr>
        <w:pStyle w:val="Bullet"/>
      </w:pPr>
      <w:r>
        <w:t xml:space="preserve">•  Harjinder Singh v. Punjab State Warehousing Corpn., (2010) 3 SCC 192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https://firstprecedent.org/fault-lines/daily-wagers-remedy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