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FL-0023 · Family</w:t>
      </w:r>
    </w:p>
    <w:p>
      <w:pPr>
        <w:pStyle w:val="Title"/>
      </w:pPr>
      <w:r>
        <w:t xml:space="preserve">The Six-Month Wait for Mutual Consent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Mandatory by the words of the section, directory by the Court’s reading; and who may waive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13B(2)</w:t>
      </w:r>
    </w:p>
    <w:p>
      <w:pPr>
        <w:pStyle w:val="Bullet"/>
      </w:pPr>
      <w:r>
        <w:t xml:space="preserve">•  Amardeep Singh v. Harveen Kaur, (2017) 8 SCC 746</w:t>
      </w:r>
    </w:p>
    <w:p>
      <w:pPr>
        <w:pStyle w:val="Bullet"/>
      </w:pPr>
      <w:r>
        <w:t xml:space="preserve">•  Shilpa Sailesh v. Varun Sreenivasan, (2023) 14 SCC 231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https://firstprecedent.org/fault-lines/cooling-off-period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