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FL-0070 · Jurisprudence</w:t>
      </w:r>
    </w:p>
    <w:p>
      <w:pPr>
        <w:pStyle w:val="Title"/>
      </w:pPr>
      <w:r>
        <w:t xml:space="preserve">Which of Two Conflicting Benches Binds?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benches of equal strength disagree, High Courts follow the earlier, the later, or the better reasoned.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Sundeep Kumar Bafna v. State of Maharashtra, (2014) 16 SCC 623</w:t>
      </w:r>
    </w:p>
    <w:p>
      <w:pPr>
        <w:pStyle w:val="Bullet"/>
      </w:pPr>
      <w:r>
        <w:t xml:space="preserve">•  National Insurance Co. Ltd. v. Pranay Sethi, (2017) 16 SCC 680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https://firstprecedent.org/fault-lines/conflicting-co-equal-benches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