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FL-0054 · IP</w:t>
      </w:r>
    </w:p>
    <w:p>
      <w:pPr>
        <w:pStyle w:val="Title"/>
      </w:pPr>
      <w:r>
        <w:t xml:space="preserve">How Readily Should a Compulsory Licence Issue?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One licence granted in 2012 and none since: the reading of "reasonable requirements of the public" and "worked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84</w:t>
      </w:r>
    </w:p>
    <w:p>
      <w:pPr>
        <w:pStyle w:val="Bullet"/>
      </w:pPr>
      <w:r>
        <w:t xml:space="preserve">•  Bayer Corpn. v. Union of India, 2014 SCC OnLine Bom 963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https://firstprecedent.org/fault-lines/compulsory-licence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