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FL-0026 · Family</w:t>
      </w:r>
    </w:p>
    <w:p>
      <w:pPr>
        <w:pStyle w:val="Title"/>
      </w:pPr>
      <w:r>
        <w:t xml:space="preserve">Children of Void Marriages and Ancestral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such children take only their parents’ self-acquired property or also a share of the parent’s interest in coparcenary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Jinia Keotin v. Kumar Sitaram Manjhi, (2003) 1 SCC 730</w:t>
      </w:r>
    </w:p>
    <w:p>
      <w:pPr>
        <w:pStyle w:val="Bullet"/>
      </w:pPr>
      <w:r>
        <w:t xml:space="preserve">•  Revanasiddappa v. Mallikarjun, (2023)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https://firstprecedent.org/fault-lines/children-of-void-marriages-and-coparcenary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