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FL-0036 · Tax</w:t>
      </w:r>
    </w:p>
    <w:p>
      <w:pPr>
        <w:pStyle w:val="Title"/>
      </w:pPr>
      <w:r>
        <w:t xml:space="preserve">Charities That 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a body with a charitable object loses its exemption because it carries on trade or charges fees.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ACIT v. Ahmedabad Urban Development Authority, (2023) 4 SCC 561</w:t>
      </w:r>
    </w:p>
    <w:p>
      <w:pPr>
        <w:pStyle w:val="Bullet"/>
      </w:pPr>
      <w:r>
        <w:t xml:space="preserve">•  Income-tax Act, 1961, § 2(15)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https://firstprecedent.org/fault-lines/charity-and-commerce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