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FL-0038 · Competition</w:t>
      </w:r>
    </w:p>
    <w:p>
      <w:pPr>
        <w:pStyle w:val="Title"/>
      </w:pPr>
      <w:r>
        <w:t xml:space="preserve">Competition Law and Statutory Monopolies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public sector monopoly created by statute for the common good answers to the Competition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Coal India Ltd. v. CCI, (2023) 10 SCC 95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https://firstprecedent.org/fault-lines/cci-and-statutory-monopolies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