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FL-0058 · Tech &amp; Data</w:t>
      </w:r>
    </w:p>
    <w:p>
      <w:pPr>
        <w:pStyle w:val="Title"/>
      </w:pPr>
      <w:r>
        <w:t xml:space="preserve">Blocking Orders and the Right to Be Heard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the user whose account or post is blocked must be given notice and reasons.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Information Technology Act, 2000, § 69A</w:t>
      </w:r>
    </w:p>
    <w:p>
      <w:pPr>
        <w:pStyle w:val="Bullet"/>
      </w:pPr>
      <w:r>
        <w:t xml:space="preserve">•  Shreya Singhal v. Union of India, (2015) 5 SCC 1</w:t>
      </w:r>
    </w:p>
    <w:p>
      <w:pPr>
        <w:pStyle w:val="Bullet"/>
      </w:pPr>
      <w:r>
        <w:t xml:space="preserve">•  X Corp. v. Union of India, 2023 SCC OnLine Kar 46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https://firstprecedent.org/fault-lines/blocking-orders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