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FL-0067 · Property</w:t>
      </w:r>
    </w:p>
    <w:p>
      <w:pPr>
        <w:pStyle w:val="Title"/>
      </w:pPr>
      <w:r>
        <w:t xml:space="preserve">Can a Possessor Sue on Adverse Possession?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Only a defence, said a bench in 2014; a ground on which to sue for title, said three judges in 2019.</w:t>
      </w:r>
    </w:p>
    <w:p>
      <w:pPr>
        <w:pStyle w:val="Guidance"/>
      </w:pPr>
      <w:r>
        <w:t xml:space="preserve">Authorities to start from. These are places to begin, listed by the editors. Read each one in the original and check the citation before you rely on it.</w:t>
      </w:r>
    </w:p>
    <w:p>
      <w:pPr>
        <w:pStyle w:val="Bullet"/>
      </w:pPr>
      <w:r>
        <w:t xml:space="preserve">•  Gurdwara Sahib v. Gram Panchayat Village Sirthala, (2014) 1 SCC 669</w:t>
      </w:r>
    </w:p>
    <w:p>
      <w:pPr>
        <w:pStyle w:val="Bullet"/>
      </w:pPr>
      <w:r>
        <w:t xml:space="preserve">•  Ravinder Kaur Grewal v. Manjit Kaur, (2019) 8 SCC 729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https://firstprecedent.org/fault-lines/adverse-possession-as-a-sword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