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DC-0004 · Constitutional</w:t>
      </w:r>
    </w:p>
    <w:p>
      <w:pPr>
        <w:pStyle w:val="Title"/>
      </w:pPr>
      <w:r>
        <w:t xml:space="preserve">Waiver of Fundamental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person can give up a fundamental right. The Indian answer, and the reasoning that rights are also limits on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Basheshar Nath v. CIT, AIR 1959 SC 149</w:t>
      </w:r>
    </w:p>
    <w:p>
      <w:pPr>
        <w:pStyle w:val="Bullet"/>
      </w:pPr>
      <w:r>
        <w:t xml:space="preserve">•  Olga Tellis v. Bombay Municipal Corpn., (1985) 3 SCC 545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https://firstprecedent.org/doctrines/waiver-of-fundamental-rights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