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DC-0087 · Constitutional</w:t>
      </w:r>
    </w:p>
    <w:p>
      <w:pPr>
        <w:pStyle w:val="Title"/>
      </w:pPr>
      <w:r>
        <w:t xml:space="preserve">Void for Vagueness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law is invalid if it gives no fair notice of what it forbids and leaves enforcement to whim.</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Shreya Singhal v. Union of India, (2015) 5 SCC 1</w:t>
      </w:r>
    </w:p>
    <w:p>
      <w:pPr>
        <w:pStyle w:val="Bullet"/>
      </w:pPr>
      <w:r>
        <w:t xml:space="preserve">•  Kartar Singh v. State of Punjab, (1994) 3 SCC 569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https://firstprecedent.org/doctrines/void-for-vagueness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