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DC-0099 · Administrative</w:t>
      </w:r>
    </w:p>
    <w:p>
      <w:pPr>
        <w:pStyle w:val="Title"/>
      </w:pPr>
      <w:r>
        <w:t xml:space="preserve">Useless Formality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argument that no hearing was needed because it could have made no difference, and how cautiously courts accept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Aligarh Muslim University v. Mansoor Ali Khan, (2000) 7 SCC 529</w:t>
      </w:r>
    </w:p>
    <w:p>
      <w:pPr>
        <w:pStyle w:val="Bullet"/>
      </w:pPr>
      <w:r>
        <w:t xml:space="preserve">•  S.L. Kapoor v. Jagmohan, (1980) 4 SCC 379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https://firstprecedent.org/doctrines/useless-formality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