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DC-0023 · Contract</w:t>
      </w:r>
    </w:p>
    <w:p>
      <w:pPr>
        <w:pStyle w:val="Title"/>
      </w:pPr>
      <w:r>
        <w:t xml:space="preserve">Unconscionability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Striking down contract terms imposed through unequal bargaining power, by way of section 23 and Article 14.</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Inland Water Transport Corpn. Ltd. v. Brojo Nath Ganguly, (1986) 3 SCC 156</w:t>
      </w:r>
    </w:p>
    <w:p>
      <w:pPr>
        <w:pStyle w:val="Bullet"/>
      </w:pPr>
      <w:r>
        <w:t xml:space="preserve">•  LIC of India v. Consumer Education &amp; Research Centre, (1995) 5 SCC 482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https://firstprecedent.org/doctrines/unconscionability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