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DC-0016 · Administrative</w:t>
      </w:r>
    </w:p>
    <w:p>
      <w:pPr>
        <w:pStyle w:val="Title"/>
      </w:pPr>
      <w:r>
        <w:t xml:space="preserve">Ultra Vires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Action beyond conferred power, substantive and procedural, as the organising ground of judicial review of delegated legislation and executive acts.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Anisminic Ltd. v. Foreign Compensation Commission, [1969] 2 AC 147</w:t>
      </w:r>
    </w:p>
    <w:p>
      <w:pPr>
        <w:pStyle w:val="Bullet"/>
      </w:pPr>
      <w:r>
        <w:t xml:space="preserve">•  State of T.N. v. P. Krishnamurthy, (2006) 4 SCC 517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https://firstprecedent.org/doctrines/ultra-vires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