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DC-0148 · Property</w:t>
      </w:r>
    </w:p>
    <w:p>
      <w:pPr>
        <w:pStyle w:val="Title"/>
      </w:pPr>
      <w:r>
        <w:t xml:space="preserve">Transfer by Ostensible Owner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protection of a buyer who takes in good faith from a person the true owner allowed to appear as owner.</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41</w:t>
      </w:r>
    </w:p>
    <w:p>
      <w:pPr>
        <w:pStyle w:val="Bullet"/>
      </w:pPr>
      <w:r>
        <w:t xml:space="preserve">•  Gurbaksh Singh v. Nikka Singh, AIR 1963 SC 1917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https://firstprecedent.org/doctrines/transfer-by-ostensible-owner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