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DC-0081 · Constitutional</w:t>
      </w:r>
    </w:p>
    <w:p>
      <w:pPr>
        <w:pStyle w:val="Title"/>
      </w:pPr>
      <w:r>
        <w:t xml:space="preserve">Territorial Nexus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State law may reach a person or thing outside the State if there is a real connection with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245</w:t>
      </w:r>
    </w:p>
    <w:p>
      <w:pPr>
        <w:pStyle w:val="Bullet"/>
      </w:pPr>
      <w:r>
        <w:t xml:space="preserve">•  State of Bombay v. R.M.D. Chamarbaugwala, AIR 1957 SC 699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https://firstprecedent.org/doctrines/territorial-nexus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