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DC-0203 · Criminal</w:t>
      </w:r>
    </w:p>
    <w:p>
      <w:pPr>
        <w:pStyle w:val="Title"/>
      </w:pPr>
      <w:r>
        <w:t xml:space="preserve">Sudden Fight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that reduces murder to culpable homicide where death is caused in the heat of a sudden quarrel without undue 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300, Exception 4</w:t>
      </w:r>
    </w:p>
    <w:p>
      <w:pPr>
        <w:pStyle w:val="Bullet"/>
      </w:pPr>
      <w:r>
        <w:t xml:space="preserve">•  Surinder Kumar v. Union Territory, Chandigarh, (1989) 2 SCC 217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https://firstprecedent.org/doctrines/sudden-fight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