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DC-0201 · Tax</w:t>
      </w:r>
    </w:p>
    <w:p>
      <w:pPr>
        <w:pStyle w:val="Title"/>
      </w:pPr>
      <w:r>
        <w:t xml:space="preserve">Substantial Compliance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requirement met in substance is satisfied, and why it does not apply to conditions that are of the essence of an exemption.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Commissioner of Central Excise v. Hari Chand Shri Gopal, (2011) 1 SCC 236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https://firstprecedent.org/doctrines/substantial-compliance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