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DC-0041 · Tax</w:t>
      </w:r>
    </w:p>
    <w:p>
      <w:pPr>
        <w:pStyle w:val="Title"/>
      </w:pPr>
      <w:r>
        <w:t xml:space="preserve">Substance over Form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revenue authorities may disregard the legal form of a transaction, and the "look at" approach that restrains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Vodafone International Holdings BV v. Union of India, (2012) 6 SCC 613</w:t>
      </w:r>
    </w:p>
    <w:p>
      <w:pPr>
        <w:pStyle w:val="Bullet"/>
      </w:pPr>
      <w:r>
        <w:t xml:space="preserve">•  McDowell &amp; Co. Ltd. v. CTO, (1985) 3 SCC 230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https://firstprecedent.org/doctrines/substance-over-form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