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DC-0100 · Administrative</w:t>
      </w:r>
    </w:p>
    <w:p>
      <w:pPr>
        <w:pStyle w:val="Title"/>
      </w:pPr>
      <w:r>
        <w:t xml:space="preserve">Sub-Delegation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delegate cannot delegate further without authority, and the difference between delegating a power and taking help.</w:t>
      </w:r>
    </w:p>
    <w:p>
      <w:pPr>
        <w:pStyle w:val="Guidance"/>
      </w:pPr>
      <w:r>
        <w:t xml:space="preserve">Authorities to start from. These are places to begin, listed by the editors. Read each one in the original and check the citation before you rely on it.</w:t>
      </w:r>
    </w:p>
    <w:p>
      <w:pPr>
        <w:pStyle w:val="Bullet"/>
      </w:pPr>
      <w:r>
        <w:t xml:space="preserve">•  Barium Chemicals Ltd. v. Company Law Board, AIR 1967 SC 295</w:t>
      </w:r>
    </w:p>
    <w:p>
      <w:pPr>
        <w:pStyle w:val="Bullet"/>
      </w:pPr>
      <w:r>
        <w:t xml:space="preserve">•  Sahni Silk Mills (P) Ltd. v. ESI Corpn., (1994) 5 SCC 346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https://firstprecedent.org/doctrines/sub-delegation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