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DC-0070 · Jurisprudence</w:t>
      </w:r>
    </w:p>
    <w:p>
      <w:pPr>
        <w:pStyle w:val="Title"/>
      </w:pPr>
      <w:r>
        <w:t xml:space="preserve">Stare Decisis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Why courts stand by decided cases, how Article 141 gives the principle constitutional force, and when the Supreme Court departs from its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141</w:t>
      </w:r>
    </w:p>
    <w:p>
      <w:pPr>
        <w:pStyle w:val="Bullet"/>
      </w:pPr>
      <w:r>
        <w:t xml:space="preserve">•  Bengal Immunity Co. Ltd. v. State of Bihar, AIR 1955 SC 661</w:t>
      </w:r>
    </w:p>
    <w:p>
      <w:pPr>
        <w:pStyle w:val="Bullet"/>
      </w:pPr>
      <w:r>
        <w:t xml:space="preserve">•  Keshav Mills Co. Ltd. v. CIT, AIR 1965 SC 1636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https://firstprecedent.org/doctrines/stare-decisis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