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DC-0111 · Criminal</w:t>
      </w:r>
    </w:p>
    <w:p>
      <w:pPr>
        <w:pStyle w:val="Title"/>
      </w:pPr>
      <w:r>
        <w:t xml:space="preserve">Life Sentence without Remission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sentence between death and ordinary life imprisonment, fixed by the constitutional courts and placed beyond statutory remission.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Swamy Shraddananda (2) v. State of Karnataka, (2008) 13 SCC 767</w:t>
      </w:r>
    </w:p>
    <w:p>
      <w:pPr>
        <w:pStyle w:val="Bullet"/>
      </w:pPr>
      <w:r>
        <w:t xml:space="preserve">•  Union of India v. V. Sriharan, (2016) 7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https://firstprecedent.org/doctrines/special-category-of-sentence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