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DC-0055 · Competition</w:t>
      </w:r>
    </w:p>
    <w:p>
      <w:pPr>
        <w:pStyle w:val="Title"/>
      </w:pPr>
      <w:r>
        <w:t xml:space="preserve">Single Economic Entity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Agreements within a corporate group are not agreements between competitors: the defence and its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w:t>
      </w:r>
    </w:p>
    <w:p>
      <w:pPr>
        <w:pStyle w:val="Bullet"/>
      </w:pPr>
      <w:r>
        <w:t xml:space="preserve">•  Exclusive Motors (P) Ltd. v. Automobili Lamborghini S.P.A., 2012 SCC OnLine CCI 76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https://firstprecedent.org/doctrines/single-economic-entity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