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DC-0012 · Constitutional</w:t>
      </w:r>
    </w:p>
    <w:p>
      <w:pPr>
        <w:pStyle w:val="Title"/>
      </w:pPr>
      <w:r>
        <w:t xml:space="preserve">Separation of Powers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Indian version: no rigid separation, but a functional division that is part of the basic structure.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Jawaya Kapur v. State of Punjab, AIR 1955 SC 549</w:t>
      </w:r>
    </w:p>
    <w:p>
      <w:pPr>
        <w:pStyle w:val="Bullet"/>
      </w:pPr>
      <w:r>
        <w:t xml:space="preserve">•  Indira Nehru Gandhi v. Raj Narain, 1975 Supp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https://firstprecedent.org/doctrines/separation-of-powers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