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DC-0061 · Tech &amp; Data</w:t>
      </w:r>
    </w:p>
    <w:p>
      <w:pPr>
        <w:pStyle w:val="Title"/>
      </w:pPr>
      <w:r>
        <w:t xml:space="preserve">Safe Harbour for Intermediaries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Immunity for hosting third-party content, the due diligence it depends on, and the "actual knowledge" trigger.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79</w:t>
      </w:r>
    </w:p>
    <w:p>
      <w:pPr>
        <w:pStyle w:val="Bullet"/>
      </w:pPr>
      <w:r>
        <w:t xml:space="preserve">•  Shreya Singhal v. Union of India, (2015) 5 SCC 1</w:t>
      </w:r>
    </w:p>
    <w:p>
      <w:pPr>
        <w:pStyle w:val="Bullet"/>
      </w:pPr>
      <w:r>
        <w:t xml:space="preserve">•  MySpace Inc. v. Super Cassettes Industries Ltd., 2016 SCC OnLine Del 6382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https://firstprecedent.org/doctrines/safe-harbour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