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DC-0080 · Property</w:t>
      </w:r>
    </w:p>
    <w:p>
      <w:pPr>
        <w:pStyle w:val="Title"/>
      </w:pPr>
      <w:r>
        <w:t xml:space="preserve">The Rule against Perpetuity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Property cannot be tied up beyond a life in being and the minority of a person then unborn.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14</w:t>
      </w:r>
    </w:p>
    <w:p>
      <w:pPr>
        <w:pStyle w:val="Bullet"/>
      </w:pPr>
      <w:r>
        <w:t xml:space="preserve">•  Indian Succession Act, 1925, § 114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https://firstprecedent.org/doctrines/rule-against-perpetuity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