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DC-0113 · Criminal</w:t>
      </w:r>
    </w:p>
    <w:p>
      <w:pPr>
        <w:pStyle w:val="Title"/>
      </w:pPr>
      <w:r>
        <w:t xml:space="preserve">Residual Doubt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lingering uncertainty short of reasonable doubt, treated as a reason not to impose death though the conviction stands.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Ashok Debbarma v. State of Tripura, (2014) 4 SCC 747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https://firstprecedent.org/doctrines/residual-doubt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