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DC-0017 · Civil Procedure</w:t>
      </w:r>
    </w:p>
    <w:p>
      <w:pPr>
        <w:pStyle w:val="Title"/>
      </w:pPr>
      <w:r>
        <w:t xml:space="preserve">Res Judicata</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A matter once finally decided between parties cannot be reopened: the conditions in section 11 and its reach beyond the Code.</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 11</w:t>
      </w:r>
    </w:p>
    <w:p>
      <w:pPr>
        <w:pStyle w:val="Bullet"/>
      </w:pPr>
      <w:r>
        <w:t xml:space="preserve">•  Satyadhyan Ghosal v. Deorajin Debi, AIR 1960 SC 941</w:t>
      </w:r>
    </w:p>
    <w:p>
      <w:pPr>
        <w:pStyle w:val="Bullet"/>
      </w:pPr>
      <w:r>
        <w:t xml:space="preserve">•  Daryao v. State of U.P., AIR 1961 SC 1457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https://firstprecedent.org/doctrines/res-judicata</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